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C4" w:rsidRDefault="005F0CC4" w:rsidP="005F0CC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6</w:t>
      </w:r>
    </w:p>
    <w:p w:rsidR="005F0CC4" w:rsidRDefault="005F0CC4" w:rsidP="005F0CC4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5F0CC4" w:rsidRPr="0083417F" w:rsidRDefault="005F0CC4" w:rsidP="005F0CC4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</w:t>
      </w:r>
      <w:r w:rsidR="0083417F">
        <w:rPr>
          <w:bCs/>
          <w:sz w:val="24"/>
          <w:szCs w:val="24"/>
        </w:rPr>
        <w:t>1/2020</w:t>
      </w:r>
    </w:p>
    <w:p w:rsidR="005F0CC4" w:rsidRDefault="005F0CC4" w:rsidP="005F0CC4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«__»  </w:t>
      </w:r>
      <w:r w:rsidR="0083417F">
        <w:rPr>
          <w:sz w:val="24"/>
          <w:szCs w:val="24"/>
        </w:rPr>
        <w:t xml:space="preserve">мая 2020 </w:t>
      </w:r>
      <w:r>
        <w:rPr>
          <w:sz w:val="24"/>
          <w:szCs w:val="24"/>
        </w:rPr>
        <w:t>г.</w:t>
      </w:r>
    </w:p>
    <w:p w:rsidR="005F0CC4" w:rsidRDefault="005F0CC4" w:rsidP="005F0CC4">
      <w:pPr>
        <w:spacing w:line="240" w:lineRule="auto"/>
        <w:ind w:left="5103" w:firstLine="0"/>
        <w:jc w:val="right"/>
        <w:rPr>
          <w:sz w:val="24"/>
          <w:szCs w:val="24"/>
        </w:rPr>
      </w:pP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F0CC4" w:rsidRPr="00A62ABC" w:rsidRDefault="005F0CC4" w:rsidP="007D00D0">
      <w:pPr>
        <w:pStyle w:val="TableContents"/>
        <w:ind w:right="46"/>
        <w:jc w:val="both"/>
        <w:rPr>
          <w:sz w:val="20"/>
          <w:szCs w:val="20"/>
          <w:lang w:val="ru-RU"/>
        </w:rPr>
      </w:pPr>
      <w:r>
        <w:rPr>
          <w:lang w:val="ru-RU"/>
        </w:rPr>
        <w:t>6. Система информации (и связи) на объекте</w:t>
      </w:r>
      <w:r>
        <w:rPr>
          <w:b/>
          <w:lang w:val="ru-RU"/>
        </w:rPr>
        <w:t xml:space="preserve">: </w:t>
      </w:r>
      <w:r w:rsidR="0083417F">
        <w:rPr>
          <w:b/>
          <w:lang w:val="ru-RU"/>
        </w:rPr>
        <w:t>МА</w:t>
      </w:r>
      <w:r w:rsidR="007D00D0">
        <w:rPr>
          <w:b/>
          <w:lang w:val="ru-RU"/>
        </w:rPr>
        <w:t>ОУ «Прогимназия № 1» г. Воркуты, 169912, г. Воркута, ул. Чернова, д. 2А</w:t>
      </w:r>
    </w:p>
    <w:p w:rsidR="005F0CC4" w:rsidRDefault="005F0CC4" w:rsidP="005F0CC4">
      <w:pPr>
        <w:pBdr>
          <w:top w:val="single" w:sz="4" w:space="1" w:color="000000"/>
        </w:pBd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i/>
          <w:sz w:val="20"/>
          <w:szCs w:val="20"/>
        </w:rPr>
        <w:t>(наименование объекта, адрес)</w:t>
      </w: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489" w:type="dxa"/>
        <w:tblLayout w:type="fixed"/>
        <w:tblLook w:val="0000"/>
      </w:tblPr>
      <w:tblGrid>
        <w:gridCol w:w="567"/>
        <w:gridCol w:w="1985"/>
        <w:gridCol w:w="709"/>
        <w:gridCol w:w="708"/>
        <w:gridCol w:w="1134"/>
        <w:gridCol w:w="3828"/>
        <w:gridCol w:w="1134"/>
        <w:gridCol w:w="4677"/>
        <w:gridCol w:w="1053"/>
      </w:tblGrid>
      <w:tr w:rsidR="005F0CC4" w:rsidTr="007544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5F0CC4" w:rsidRDefault="005F0CC4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элемента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по адаптации объекта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F0CC4" w:rsidTr="0075441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5F0CC4" w:rsidRDefault="005F0CC4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  <w:p w:rsidR="005F0CC4" w:rsidRDefault="005F0CC4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F0CC4" w:rsidRDefault="005F0CC4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5F0CC4" w:rsidRDefault="005F0CC4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Значимо </w:t>
            </w:r>
          </w:p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для </w:t>
            </w:r>
          </w:p>
          <w:p w:rsidR="005F0CC4" w:rsidRDefault="005F0CC4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инвалида (категория)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3417F" w:rsidTr="0075441C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Pr="00A62ABC" w:rsidRDefault="0083417F" w:rsidP="00E12B4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символы доступности (визуальная разметка) на прилегающей территории;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различные освещаемые указатели в виде символов и пиктограмм с использованием яркого цвета, контрастного по отношению к фоновой поверхности;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комплексная система информации и сигнализации об опасности; 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,С,</w:t>
            </w:r>
          </w:p>
          <w:p w:rsidR="0083417F" w:rsidRDefault="0083417F" w:rsidP="009444D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нанести символы доступности   (визуальную разметку) в соответствии с требованиями </w:t>
            </w:r>
            <w:r>
              <w:rPr>
                <w:b/>
                <w:sz w:val="24"/>
                <w:szCs w:val="24"/>
              </w:rPr>
              <w:t>СП 59.13330.2016 п. 6.5.1;</w:t>
            </w:r>
          </w:p>
          <w:p w:rsidR="0083417F" w:rsidRDefault="0083417F" w:rsidP="009444DC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-визуальная информация должна располагаться на контрастном фоне с размерами знаков, соответствующими расстоянию рассмотрения, и располагаться на высоте не менее 1,5 м и не более 4,5 м от уровня пола </w:t>
            </w:r>
            <w:r>
              <w:rPr>
                <w:b/>
                <w:sz w:val="24"/>
                <w:szCs w:val="24"/>
              </w:rPr>
              <w:t>СП 59 13330.2016</w:t>
            </w:r>
            <w:r>
              <w:rPr>
                <w:b/>
                <w:bCs/>
                <w:iCs/>
                <w:sz w:val="24"/>
                <w:szCs w:val="24"/>
              </w:rPr>
              <w:t xml:space="preserve"> п.6.5.4;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оборудовать пиктограммами места обслуживания инвалидов со слуховым аппаратом;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нанести контрастную маркировку на края дверного полотна и дверные ручки всех дверей;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выделить краевые (верхние и нижние) ступени лестницы и края пандуса цветом и фактурой;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установить системы средств информации </w:t>
            </w:r>
            <w:r>
              <w:rPr>
                <w:sz w:val="24"/>
                <w:szCs w:val="24"/>
              </w:rPr>
              <w:lastRenderedPageBreak/>
              <w:t>и сигнализации об опасности;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подключить к существующей визуальной системе оповещения о пожаре (световые сигнализаторы «ВЫХОД») дублирующую световую сигнализацию (сигнальные лампы). При размещении сигнальных ламп учесть, чтобы сигнал был виден из любой точки коридора, а также дублировался в </w:t>
            </w:r>
            <w:r w:rsidRPr="00B10F88">
              <w:rPr>
                <w:sz w:val="24"/>
                <w:szCs w:val="24"/>
              </w:rPr>
              <w:t>туалете</w:t>
            </w:r>
            <w:r w:rsidRPr="00B10F88">
              <w:rPr>
                <w:b/>
                <w:sz w:val="24"/>
                <w:szCs w:val="24"/>
              </w:rPr>
              <w:t xml:space="preserve"> СП 59.13330.2016, п.6.5.5;</w:t>
            </w:r>
          </w:p>
          <w:p w:rsidR="0083417F" w:rsidRPr="00C10038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sub_833"/>
            <w:r>
              <w:rPr>
                <w:sz w:val="24"/>
                <w:szCs w:val="24"/>
              </w:rPr>
              <w:t>- н</w:t>
            </w:r>
            <w:r w:rsidRPr="00C10038">
              <w:rPr>
                <w:sz w:val="24"/>
                <w:szCs w:val="24"/>
              </w:rPr>
              <w:t xml:space="preserve">а входах в медицинские организации для пациентов и посетителей должны обеспечиваться визуальное, радио- или звуковое информирование с указанием групп помещений (отделений), в которые можно попасть через данный вход </w:t>
            </w:r>
            <w:r>
              <w:rPr>
                <w:sz w:val="24"/>
                <w:szCs w:val="24"/>
              </w:rPr>
              <w:t>(при наличии нескольких входов)</w:t>
            </w:r>
            <w:r w:rsidRPr="00B10F88">
              <w:rPr>
                <w:b/>
                <w:sz w:val="24"/>
                <w:szCs w:val="24"/>
              </w:rPr>
              <w:t xml:space="preserve"> СП 59.13330.2016, п.</w:t>
            </w:r>
            <w:r>
              <w:rPr>
                <w:b/>
                <w:sz w:val="24"/>
                <w:szCs w:val="24"/>
              </w:rPr>
              <w:t>8.3.3;</w:t>
            </w:r>
          </w:p>
          <w:bookmarkEnd w:id="0"/>
          <w:p w:rsidR="0083417F" w:rsidRDefault="0083417F" w:rsidP="009444D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10038">
              <w:rPr>
                <w:sz w:val="24"/>
                <w:szCs w:val="24"/>
              </w:rPr>
              <w:t xml:space="preserve">ходы в кабинеты врачей и процедурные должны быть оборудованы световыми сигнализаторами вызова </w:t>
            </w:r>
            <w:proofErr w:type="spellStart"/>
            <w:r w:rsidRPr="00C10038">
              <w:rPr>
                <w:sz w:val="24"/>
                <w:szCs w:val="24"/>
              </w:rPr>
              <w:t>пациентов</w:t>
            </w:r>
            <w:r w:rsidRPr="00B10F88">
              <w:rPr>
                <w:b/>
                <w:sz w:val="24"/>
                <w:szCs w:val="24"/>
              </w:rPr>
              <w:t>СП</w:t>
            </w:r>
            <w:proofErr w:type="spellEnd"/>
            <w:r w:rsidRPr="00B10F88">
              <w:rPr>
                <w:b/>
                <w:sz w:val="24"/>
                <w:szCs w:val="24"/>
              </w:rPr>
              <w:t xml:space="preserve"> 59.13330.2016, п.</w:t>
            </w:r>
            <w:r>
              <w:rPr>
                <w:b/>
                <w:sz w:val="24"/>
                <w:szCs w:val="24"/>
              </w:rPr>
              <w:t>8.3.3.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7F" w:rsidRDefault="0083417F" w:rsidP="0075441C">
            <w:pPr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lastRenderedPageBreak/>
              <w:t>Ремонт, ТСР, Орг.</w:t>
            </w:r>
          </w:p>
        </w:tc>
      </w:tr>
      <w:tr w:rsidR="0083417F" w:rsidTr="0075441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зоны обслуживания инвалидов по слуху;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звуковые маяки при входах, пересечениях путей движения;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радиотрансляция в здании.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оборудовать  все функциональные зоны переносными индукционными системами;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установить звуковые маяки при входах, пересечениях путей движения;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оборудовать  радиотрансляцией  здание.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7F" w:rsidRDefault="0083417F" w:rsidP="0075441C">
            <w:pPr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t>Ремонт, ТСР, Орг.</w:t>
            </w:r>
          </w:p>
        </w:tc>
      </w:tr>
      <w:tr w:rsidR="0083417F" w:rsidTr="0075441C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E9098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E12B4B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60,61,62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рельефные поэтажные планы на лестничных площадках, в коридорах, вестибюлях;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направляющие поручни в коридорах с рельефными обозначениями на них;</w:t>
            </w:r>
          </w:p>
          <w:p w:rsidR="0083417F" w:rsidRDefault="0083417F" w:rsidP="009444DC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.</w:t>
            </w:r>
          </w:p>
          <w:p w:rsidR="0083417F" w:rsidRDefault="0083417F" w:rsidP="009444DC">
            <w:pPr>
              <w:pStyle w:val="a3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разместить на каждом этаже, рядом с входом, в доступном месте, на контрастном от стены фоне мнемосхему с информацией о расположении помещений на объекте, с указанием доступных для инвалидов маршрутов и путей эвакуации, с дублированием информации шрифтом Брайля; 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разместить рельефные поэтажные планы </w:t>
            </w:r>
            <w:r>
              <w:rPr>
                <w:sz w:val="24"/>
                <w:szCs w:val="24"/>
              </w:rPr>
              <w:lastRenderedPageBreak/>
              <w:t>на лестничных площадках, в коридорах, вестибюлях;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установить направляющие поручни в коридорах с рельефными обозначениями на них; 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полу на расстоянии 0,8 м по контуру колонн разместить тактильные полосы шириной 0,5 м с квадратными рифами;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E1849">
              <w:rPr>
                <w:sz w:val="24"/>
                <w:szCs w:val="24"/>
              </w:rPr>
              <w:t>частки пола на коммуникационных путях перед доступными дверными проемами, находящимися фронтально по ходу движения, входами на лестничные клетки, открытыми лестничными маршами, стационарными препятствиями должны иметь тактильно-контрастные предупреждающие указатели глубиной 0,5-0,6 м, с высотой рифов 4 мм.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49">
              <w:rPr>
                <w:sz w:val="24"/>
                <w:szCs w:val="24"/>
              </w:rPr>
              <w:t>Предупреждающие тактильно-контрастные указатели должны быть: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49">
              <w:rPr>
                <w:sz w:val="24"/>
                <w:szCs w:val="24"/>
              </w:rPr>
              <w:t>- на расстоянии 0,3 м от препятствия или плоскости дверного полотна, если дверь открывается по ходу движения;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49">
              <w:rPr>
                <w:sz w:val="24"/>
                <w:szCs w:val="24"/>
              </w:rPr>
              <w:t>- на расстоянии ширины полотна двери от плоскости дверного полотна, если дверь открывается навстречу движению;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49">
              <w:rPr>
                <w:sz w:val="24"/>
                <w:szCs w:val="24"/>
              </w:rPr>
              <w:t>- непосредственно перед выходом на лестничную площадку через открытый проем без двери;</w:t>
            </w:r>
          </w:p>
          <w:p w:rsidR="0083417F" w:rsidRPr="007E1849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849">
              <w:rPr>
                <w:sz w:val="24"/>
                <w:szCs w:val="24"/>
              </w:rPr>
              <w:t>- на расстоянии 0,3 от внешнего края проступи верхней и нижней ступеней открытых лестничных маршей (если проступь ступени на верхней площадке выделена конструктивно, предупреждающий указатель должен непосредственно примыкать к проступи,</w:t>
            </w:r>
            <w:r>
              <w:rPr>
                <w:sz w:val="24"/>
                <w:szCs w:val="24"/>
              </w:rPr>
              <w:t xml:space="preserve"> независимо от ее ширины) </w:t>
            </w:r>
            <w:r>
              <w:rPr>
                <w:b/>
                <w:sz w:val="24"/>
                <w:szCs w:val="24"/>
              </w:rPr>
              <w:t>СП 59.13330.2016, п.6.2.3</w:t>
            </w:r>
            <w:r w:rsidRPr="00B10F88">
              <w:rPr>
                <w:b/>
                <w:sz w:val="24"/>
                <w:szCs w:val="24"/>
              </w:rPr>
              <w:t>;</w:t>
            </w:r>
          </w:p>
          <w:p w:rsidR="0083417F" w:rsidRPr="00BD6EB2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</w:t>
            </w:r>
            <w:r w:rsidRPr="00BD6EB2">
              <w:rPr>
                <w:sz w:val="24"/>
                <w:szCs w:val="24"/>
              </w:rPr>
              <w:t>нформирующие тактильные таблички для людей с нарушением зрения с использованием рельефных знаков и символов, а также рельефно-точечного шрифта Брайля должны размещаться рядом с дверью со стороны дверной ручки на высоте от 1,2 до 1,6 м:</w:t>
            </w:r>
          </w:p>
          <w:p w:rsidR="0083417F" w:rsidRPr="00BD6EB2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EB2">
              <w:rPr>
                <w:sz w:val="24"/>
                <w:szCs w:val="24"/>
              </w:rPr>
              <w:t>- перед входом в здание с указанием наименования учреждения, времени оказания услуг (приемных часов);</w:t>
            </w:r>
          </w:p>
          <w:p w:rsidR="0083417F" w:rsidRPr="00BD6EB2" w:rsidRDefault="0083417F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EB2">
              <w:rPr>
                <w:sz w:val="24"/>
                <w:szCs w:val="24"/>
              </w:rPr>
              <w:t>- перед входами во внутренние помещения, в которых оказываются услуги, с указание</w:t>
            </w:r>
            <w:r>
              <w:rPr>
                <w:sz w:val="24"/>
                <w:szCs w:val="24"/>
              </w:rPr>
              <w:t>м номера и назначения помещения</w:t>
            </w:r>
            <w:r>
              <w:rPr>
                <w:b/>
                <w:sz w:val="24"/>
                <w:szCs w:val="24"/>
              </w:rPr>
              <w:t xml:space="preserve"> СП 59.13330.2016, п.6.5.9</w:t>
            </w:r>
            <w:r w:rsidRPr="00B10F88">
              <w:rPr>
                <w:b/>
                <w:sz w:val="24"/>
                <w:szCs w:val="24"/>
              </w:rPr>
              <w:t>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таблички должны быть контрастного цвета размерами выполненные рельефным шрифтом 50 х 270 мм с названием кабинетов, с дублированием информации шрифтом Брайля, высота точек 0,7 мм, диаметр 1,5 мм. 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нанести контрастную маркировку на края дверного полотна и дверные ручки;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разместить на стенах путей эвакуации тактильные знаки контрастного цвета, указывающие направление к эвакуационному выходу.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7F" w:rsidRDefault="0083417F" w:rsidP="0075441C">
            <w:pPr>
              <w:spacing w:line="240" w:lineRule="auto"/>
              <w:ind w:left="-108" w:right="-108" w:firstLine="0"/>
              <w:jc w:val="left"/>
            </w:pPr>
            <w:r>
              <w:rPr>
                <w:b/>
                <w:sz w:val="24"/>
                <w:szCs w:val="24"/>
              </w:rPr>
              <w:lastRenderedPageBreak/>
              <w:t>Ремонт, ТСР, Орг.</w:t>
            </w:r>
          </w:p>
        </w:tc>
      </w:tr>
      <w:tr w:rsidR="0083417F" w:rsidTr="0075441C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17F" w:rsidRDefault="0083417F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7F" w:rsidRDefault="0083417F" w:rsidP="009444DC">
            <w:pPr>
              <w:pStyle w:val="a3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доступности услуг должно предусматривать: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инвалидам помощи, необходимой для получения в доступной для них форме информации о правилах предоставления услуги, в том числе в оформлении необходимых для её получения документов;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инвалидов с нарушением слуха во всех помещениях следует  предусмотреть установку светового сигнализатора об </w:t>
            </w:r>
            <w:r>
              <w:rPr>
                <w:sz w:val="24"/>
                <w:szCs w:val="24"/>
              </w:rPr>
              <w:lastRenderedPageBreak/>
              <w:t>эвакуации в случае чрезвычайных ситуаций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      </w:r>
            <w:proofErr w:type="spellStart"/>
            <w:r>
              <w:rPr>
                <w:sz w:val="24"/>
                <w:szCs w:val="24"/>
              </w:rPr>
              <w:t>аудиоконтура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417F" w:rsidRDefault="0083417F" w:rsidP="009444D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вся информация на объекте должна быть комплексной, идентичной, непрерывной и своевременно ориентировать однозначное опознание мест посещения.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7F" w:rsidRDefault="0083417F" w:rsidP="0075441C">
            <w:pPr>
              <w:snapToGri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5F0CC4" w:rsidRDefault="005F0CC4" w:rsidP="005F0CC4">
      <w:pPr>
        <w:spacing w:line="240" w:lineRule="auto"/>
        <w:ind w:firstLine="0"/>
        <w:rPr>
          <w:b/>
          <w:sz w:val="24"/>
          <w:szCs w:val="24"/>
        </w:rPr>
      </w:pP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435C" w:rsidRDefault="002B435C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435C" w:rsidRDefault="002B435C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435C" w:rsidRDefault="002B435C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7E10" w:rsidRDefault="00047E10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1" w:name="_GoBack"/>
      <w:bookmarkEnd w:id="1"/>
    </w:p>
    <w:p w:rsidR="005F0CC4" w:rsidRDefault="005F0CC4" w:rsidP="00EE35D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5F0CC4" w:rsidRDefault="005F0CC4" w:rsidP="005F0CC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489" w:type="dxa"/>
        <w:tblLayout w:type="fixed"/>
        <w:tblLook w:val="0000"/>
      </w:tblPr>
      <w:tblGrid>
        <w:gridCol w:w="3544"/>
        <w:gridCol w:w="4820"/>
        <w:gridCol w:w="1417"/>
        <w:gridCol w:w="1418"/>
        <w:gridCol w:w="4596"/>
      </w:tblGrid>
      <w:tr w:rsidR="005F0CC4" w:rsidTr="0075441C">
        <w:trPr>
          <w:trHeight w:val="4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пункту 3.4 Акта обследования ОСИ)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работы)**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к пункту 4.1 Акта обследования ОСИ</w:t>
            </w:r>
          </w:p>
        </w:tc>
      </w:tr>
      <w:tr w:rsidR="005F0CC4" w:rsidTr="0075441C">
        <w:trPr>
          <w:trHeight w:val="551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0CC4" w:rsidTr="0075441C">
        <w:trPr>
          <w:trHeight w:val="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Cs/>
                <w:sz w:val="24"/>
                <w:szCs w:val="24"/>
              </w:rPr>
              <w:t>Система информации (и связи) на объекте:</w:t>
            </w:r>
          </w:p>
          <w:p w:rsidR="005F0CC4" w:rsidRDefault="005F0CC4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5F0CC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C4" w:rsidRDefault="00E12B4B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60,61,62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CC4" w:rsidRDefault="005F0CC4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</w:p>
          <w:p w:rsidR="005F0CC4" w:rsidRDefault="005F0CC4" w:rsidP="0075441C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Индивидуальное решение с ТСР, Организационные мероприятия</w:t>
            </w:r>
          </w:p>
        </w:tc>
      </w:tr>
    </w:tbl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 указывается: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ДП-В - доступно полностью всем; 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ДЧ-В - доступно частично всем;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ДУ - доступно условно,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ВНД – недоступно (временно недоступно)</w:t>
      </w:r>
    </w:p>
    <w:p w:rsidR="005F0CC4" w:rsidRDefault="005F0CC4" w:rsidP="005F0CC4">
      <w:pPr>
        <w:spacing w:line="240" w:lineRule="auto"/>
        <w:rPr>
          <w:sz w:val="20"/>
          <w:szCs w:val="20"/>
        </w:rPr>
      </w:pPr>
    </w:p>
    <w:p w:rsidR="005F0CC4" w:rsidRDefault="005F0CC4" w:rsidP="005F0CC4">
      <w:pPr>
        <w:spacing w:line="240" w:lineRule="auto"/>
        <w:rPr>
          <w:sz w:val="20"/>
          <w:szCs w:val="20"/>
        </w:rPr>
      </w:pPr>
    </w:p>
    <w:p w:rsidR="005F0CC4" w:rsidRDefault="005F0CC4" w:rsidP="005F0CC4">
      <w:pPr>
        <w:spacing w:line="240" w:lineRule="auto"/>
        <w:rPr>
          <w:sz w:val="20"/>
          <w:szCs w:val="20"/>
        </w:rPr>
      </w:pP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**указывается один из вариантов: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не нуждается;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ремонт (текущий, капитальный); </w:t>
      </w:r>
    </w:p>
    <w:p w:rsidR="005F0CC4" w:rsidRDefault="005F0CC4" w:rsidP="005F0CC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решение с ТСР; </w:t>
      </w:r>
    </w:p>
    <w:p w:rsidR="005F0CC4" w:rsidRDefault="005F0CC4" w:rsidP="005F0CC4">
      <w:pPr>
        <w:spacing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5F0CC4" w:rsidRDefault="005F0CC4" w:rsidP="005F0CC4">
      <w:pPr>
        <w:rPr>
          <w:b/>
          <w:sz w:val="20"/>
          <w:szCs w:val="20"/>
        </w:rPr>
      </w:pPr>
    </w:p>
    <w:p w:rsidR="005F0CC4" w:rsidRDefault="005F0CC4" w:rsidP="005F0CC4">
      <w:pPr>
        <w:pStyle w:val="a3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Комментарий к заключению:</w:t>
      </w:r>
    </w:p>
    <w:p w:rsidR="005F0CC4" w:rsidRDefault="005F0CC4" w:rsidP="005F0CC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Состояние доступности системы информации на объекте оценено, как  временно недоступное для МГН, что не обеспечивает полноценного нахождения их на объекте. Для обеспечения  полной доступности услуг инвалидам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, С, Г, У) необходимо  разместить визуальную, акустическую, тактильную, доступную и понятную информацию на входе на территорию, в здание, на этажах, а также, разместить информацию об оказании услуг МГН на сайте учреждения. Изготовить памятки для инвалидов по вопросам получения услуг и помощи со стороны персонала на объекте. Готовые памятки разместить в доступных местах на объекте. </w:t>
      </w:r>
    </w:p>
    <w:p w:rsidR="005F0CC4" w:rsidRDefault="005F0CC4" w:rsidP="005F0CC4">
      <w:pPr>
        <w:rPr>
          <w:sz w:val="24"/>
          <w:szCs w:val="24"/>
        </w:rPr>
      </w:pPr>
    </w:p>
    <w:p w:rsidR="00EB6A64" w:rsidRDefault="00EB6A64"/>
    <w:sectPr w:rsidR="00EB6A64" w:rsidSect="0057725C">
      <w:pgSz w:w="16838" w:h="11906" w:orient="landscape"/>
      <w:pgMar w:top="993" w:right="536" w:bottom="426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C4"/>
    <w:rsid w:val="00047E10"/>
    <w:rsid w:val="002B435C"/>
    <w:rsid w:val="00326D7F"/>
    <w:rsid w:val="003C3023"/>
    <w:rsid w:val="004D60FF"/>
    <w:rsid w:val="00551B23"/>
    <w:rsid w:val="0057725C"/>
    <w:rsid w:val="005F0CC4"/>
    <w:rsid w:val="007D00D0"/>
    <w:rsid w:val="0083417F"/>
    <w:rsid w:val="0099195C"/>
    <w:rsid w:val="00B71A25"/>
    <w:rsid w:val="00C10890"/>
    <w:rsid w:val="00C7183D"/>
    <w:rsid w:val="00DD5233"/>
    <w:rsid w:val="00E12B4B"/>
    <w:rsid w:val="00E5067A"/>
    <w:rsid w:val="00E90985"/>
    <w:rsid w:val="00EB6A64"/>
    <w:rsid w:val="00E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4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CC4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5F0CC4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4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CC4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5F0CC4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2020-12-04T09:20:00Z</dcterms:created>
  <dcterms:modified xsi:type="dcterms:W3CDTF">2020-12-04T09:20:00Z</dcterms:modified>
</cp:coreProperties>
</file>