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1" w:rsidRDefault="00456BD1" w:rsidP="00456BD1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4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</w:t>
      </w:r>
    </w:p>
    <w:p w:rsidR="00456BD1" w:rsidRDefault="00456BD1" w:rsidP="00456BD1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456BD1" w:rsidRDefault="00456BD1" w:rsidP="00456BD1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</w:t>
      </w:r>
      <w:r w:rsidR="00892746" w:rsidRPr="00892746">
        <w:rPr>
          <w:bCs/>
          <w:sz w:val="24"/>
          <w:szCs w:val="24"/>
        </w:rPr>
        <w:t>1/2020</w:t>
      </w:r>
    </w:p>
    <w:p w:rsidR="00456BD1" w:rsidRDefault="00456BD1" w:rsidP="00456BD1">
      <w:pPr>
        <w:spacing w:line="240" w:lineRule="auto"/>
        <w:ind w:left="5103"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«___» </w:t>
      </w:r>
      <w:r w:rsidR="00892746">
        <w:rPr>
          <w:sz w:val="24"/>
          <w:szCs w:val="24"/>
        </w:rPr>
        <w:t>мая 2020</w:t>
      </w:r>
      <w:r>
        <w:rPr>
          <w:sz w:val="24"/>
          <w:szCs w:val="24"/>
        </w:rPr>
        <w:t xml:space="preserve">  г.</w:t>
      </w: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456BD1" w:rsidRDefault="00456BD1" w:rsidP="00456BD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56BD1" w:rsidRPr="000C525D" w:rsidRDefault="00456BD1" w:rsidP="000C525D">
      <w:pPr>
        <w:pStyle w:val="TableContents"/>
        <w:ind w:right="46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4. Зоны целевого назначения здания (целевого посещения объекта): </w:t>
      </w:r>
      <w:r w:rsidR="00892746">
        <w:rPr>
          <w:b/>
          <w:lang w:val="ru-RU"/>
        </w:rPr>
        <w:t>МА</w:t>
      </w:r>
      <w:r w:rsidR="000C525D">
        <w:rPr>
          <w:b/>
          <w:lang w:val="ru-RU"/>
        </w:rPr>
        <w:t>ОУ «Прогимназия № 1» г. Воркуты, 169912, г. Воркута, ул. Чернова, д. 2А</w:t>
      </w:r>
    </w:p>
    <w:p w:rsidR="00456BD1" w:rsidRDefault="00456BD1" w:rsidP="00456BD1">
      <w:pPr>
        <w:pBdr>
          <w:top w:val="single" w:sz="4" w:space="1" w:color="000000"/>
        </w:pBd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(наименование объекта, адрес)   </w:t>
      </w:r>
    </w:p>
    <w:p w:rsidR="00456BD1" w:rsidRDefault="00456BD1" w:rsidP="00456BD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2693"/>
        <w:gridCol w:w="709"/>
        <w:gridCol w:w="567"/>
        <w:gridCol w:w="992"/>
        <w:gridCol w:w="3402"/>
        <w:gridCol w:w="993"/>
        <w:gridCol w:w="4677"/>
        <w:gridCol w:w="1053"/>
      </w:tblGrid>
      <w:tr w:rsidR="00456BD1" w:rsidTr="007544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элемента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Работы по адаптации объекта</w:t>
            </w:r>
          </w:p>
        </w:tc>
      </w:tr>
      <w:tr w:rsidR="00456BD1" w:rsidTr="0075441C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456BD1" w:rsidRDefault="00456BD1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456BD1" w:rsidRDefault="00456BD1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56BD1" w:rsidRDefault="00456BD1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456BD1" w:rsidRDefault="00456BD1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Значимо 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для 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инвалида (категория)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456BD1" w:rsidTr="0075441C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D427F" w:rsidRDefault="003D42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380348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21, 22, 23, 24, 25, 26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не организовано донесение информации в доступной форме людям с нарушениями восприятия слуха и зрения;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отсутствует свободный подход к мебели в кабинетах.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,С,</w:t>
            </w:r>
          </w:p>
          <w:p w:rsidR="00456BD1" w:rsidRDefault="00456BD1" w:rsidP="0075441C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установить индукционную систему для оказания услуг гражданам с нарушениями слуха, а также организовать сурдоперевод;</w:t>
            </w:r>
          </w:p>
          <w:p w:rsidR="00456BD1" w:rsidRDefault="000C525D" w:rsidP="0075441C">
            <w:pPr>
              <w:pStyle w:val="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приобрести электронные </w:t>
            </w:r>
            <w:proofErr w:type="spellStart"/>
            <w:r w:rsidR="00456BD1">
              <w:rPr>
                <w:sz w:val="24"/>
                <w:szCs w:val="24"/>
              </w:rPr>
              <w:t>видеоувеличители</w:t>
            </w:r>
            <w:proofErr w:type="spellEnd"/>
            <w:r w:rsidR="00456BD1">
              <w:rPr>
                <w:sz w:val="24"/>
                <w:szCs w:val="24"/>
              </w:rPr>
              <w:t>;</w:t>
            </w:r>
          </w:p>
          <w:p w:rsidR="00456BD1" w:rsidRDefault="00456BD1" w:rsidP="0075441C">
            <w:pPr>
              <w:pStyle w:val="1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- создать условия доступного подхода к мебели и оборудованию (Подходы к различному оборудованию и мебели должны быть по ширине не менее 0,9 м, а при необходимости поворота кресла-коляски на 90° - не менее 1,2 м. Диаметр зоны для самостоятельного разворота на 180° инвалида на кресле-коляске следует принимать не менее 1,4 м.)</w:t>
            </w:r>
            <w:r>
              <w:rPr>
                <w:b/>
                <w:bCs/>
                <w:iCs/>
                <w:sz w:val="24"/>
                <w:szCs w:val="24"/>
              </w:rPr>
              <w:t xml:space="preserve"> СП 59.13330.2012 п. 5.2.2, согласно п.41 </w:t>
            </w:r>
            <w:r>
              <w:rPr>
                <w:b/>
                <w:bCs/>
                <w:iCs/>
                <w:sz w:val="24"/>
                <w:szCs w:val="24"/>
              </w:rPr>
              <w:lastRenderedPageBreak/>
              <w:t>Постановления Правительства РФ от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26.12.2014 года №1521 (с изменениями на 07.12.2016 г.)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10DC">
              <w:rPr>
                <w:bCs/>
                <w:sz w:val="24"/>
                <w:szCs w:val="24"/>
              </w:rPr>
              <w:t>- установить выключатели и розетки по нормативам (</w:t>
            </w:r>
            <w:r>
              <w:rPr>
                <w:sz w:val="24"/>
                <w:szCs w:val="24"/>
              </w:rPr>
              <w:t>э</w:t>
            </w:r>
            <w:r w:rsidRPr="005710DC">
              <w:rPr>
                <w:sz w:val="24"/>
                <w:szCs w:val="24"/>
              </w:rPr>
              <w:t>лектророзетки в помещениях следует предусматривать на высоте о</w:t>
            </w:r>
            <w:r>
              <w:rPr>
                <w:sz w:val="24"/>
                <w:szCs w:val="24"/>
              </w:rPr>
              <w:t>т 0,4 до 0,8 м от уровня пола</w:t>
            </w:r>
            <w:r w:rsidRPr="005710DC">
              <w:rPr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СП 59.13330.2016 п. 6.4.2.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t>Орг.</w:t>
            </w:r>
          </w:p>
        </w:tc>
      </w:tr>
      <w:tr w:rsidR="00456BD1" w:rsidTr="0075441C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82" w:rsidRDefault="00910D82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10D82" w:rsidRDefault="00910D82" w:rsidP="00910D8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8250C" w:rsidRDefault="0008250C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250C" w:rsidRDefault="0008250C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  <w:p w:rsidR="0008250C" w:rsidRDefault="0008250C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D427F" w:rsidRDefault="0008250C" w:rsidP="00910D8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8250C" w:rsidRDefault="0008250C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6BD1" w:rsidRDefault="0008250C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10D82" w:rsidRDefault="00910D82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8250D" w:rsidRDefault="00C8250D" w:rsidP="000825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250C" w:rsidRDefault="0008250C" w:rsidP="000825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8250C" w:rsidRDefault="00C8250D" w:rsidP="000825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D427F" w:rsidRDefault="003D427F" w:rsidP="000825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380348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47, 46, </w:t>
            </w:r>
            <w:r w:rsidR="008918B9">
              <w:rPr>
                <w:sz w:val="24"/>
                <w:szCs w:val="24"/>
              </w:rPr>
              <w:t xml:space="preserve">48, 49, </w:t>
            </w:r>
            <w:r>
              <w:rPr>
                <w:sz w:val="24"/>
                <w:szCs w:val="24"/>
              </w:rPr>
              <w:t>50, 51</w:t>
            </w:r>
            <w:r w:rsidR="008918B9">
              <w:rPr>
                <w:sz w:val="24"/>
                <w:szCs w:val="24"/>
              </w:rPr>
              <w:t>, 52, 53,54, 55, 56, 57, 58, 59</w:t>
            </w: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выделены места</w:t>
            </w:r>
            <w:r w:rsidR="00380348">
              <w:rPr>
                <w:sz w:val="24"/>
                <w:szCs w:val="24"/>
              </w:rPr>
              <w:t xml:space="preserve"> для людей с нарушениями опорно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дв</w:t>
            </w:r>
            <w:proofErr w:type="gramEnd"/>
            <w:r>
              <w:rPr>
                <w:sz w:val="24"/>
                <w:szCs w:val="24"/>
              </w:rPr>
              <w:t>игательного аппарата, в том числе передвигающихся на инвалидных креслах – колясках, с нарушением слуха и зрения;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донесение информации людям с нарушением слуха и зрения.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Актовый и спортивный зал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организовано донесение информации в доступной форме людям с нарушениями восприятия, слуха и зрения;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выделены места для людей с нарушениями опорно – двигательного аппарата, в том числе передвигающихся на инвалидных креслах – колясках;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доступ на сцену МГН.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Библиотека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организовано донесение информации в доступной форме людям с нарушениями восприятия, слуха и зрения;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выделены места для людей с нарушениями опорно – двигательного аппарата, в том числе передвигающихся на инвалидных креслах – колясках.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756A9">
              <w:rPr>
                <w:b/>
                <w:sz w:val="24"/>
                <w:szCs w:val="24"/>
              </w:rPr>
              <w:t>Столовая</w:t>
            </w:r>
          </w:p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выделены места для людей с нарушениями опорно – двигательного аппарата, в том числе передвигающихся на инвалидных креслах – колясках, с нарушением зрения.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960D92" w:rsidRDefault="00960D92" w:rsidP="0075441C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31634">
              <w:rPr>
                <w:b/>
                <w:bCs/>
                <w:sz w:val="24"/>
                <w:szCs w:val="24"/>
              </w:rPr>
              <w:t>Групп</w:t>
            </w:r>
            <w:r w:rsidR="00031634" w:rsidRPr="00031634">
              <w:rPr>
                <w:b/>
                <w:bCs/>
                <w:sz w:val="24"/>
                <w:szCs w:val="24"/>
              </w:rPr>
              <w:t>овые</w:t>
            </w:r>
          </w:p>
          <w:p w:rsidR="00031634" w:rsidRDefault="00031634" w:rsidP="00031634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выделены места для людей с нарушениями опорно – двигательного аппарата, в том числе передвигающихся на инвалидных креслах – колясках, с нарушением зрения.</w:t>
            </w:r>
          </w:p>
          <w:p w:rsidR="00031634" w:rsidRPr="00031634" w:rsidRDefault="00031634" w:rsidP="0075441C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,С,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донесение информации для людей с нарушением слуха, зрения;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выделить места в столовой для людей с нарушениями опорно – двигательного аппарата, в том числе передвигающихся на инвалидных креслах – колясках и нарушением зрения;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выделить места в классе для людей с нарушениями опорно – двигательного аппарата, в том числе передвигающихся на инвалидных креслах – колясках,  нарушением зрения и слуха;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выделить места в библиотеке для </w:t>
            </w:r>
            <w:proofErr w:type="gramStart"/>
            <w:r>
              <w:rPr>
                <w:sz w:val="24"/>
                <w:szCs w:val="24"/>
              </w:rPr>
              <w:t>людей</w:t>
            </w:r>
            <w:proofErr w:type="gramEnd"/>
            <w:r>
              <w:rPr>
                <w:sz w:val="24"/>
                <w:szCs w:val="24"/>
              </w:rPr>
              <w:t xml:space="preserve"> передвигающихся на инвалидных креслах – колясках и нарушением зрения;</w:t>
            </w:r>
          </w:p>
          <w:p w:rsidR="00456BD1" w:rsidRPr="00625883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sub_8610"/>
            <w:r>
              <w:rPr>
                <w:sz w:val="24"/>
                <w:szCs w:val="24"/>
              </w:rPr>
              <w:t>- п</w:t>
            </w:r>
            <w:r w:rsidRPr="00625883">
              <w:rPr>
                <w:sz w:val="24"/>
                <w:szCs w:val="24"/>
              </w:rPr>
              <w:t>роходы в читальном зале библиотеки должны иметь ширину не менее 1,2 м. Размеры рабочего места инвалида (без учета поверхности стола) должны быть 1,5x0,9 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8.6.10;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sub_8611"/>
            <w:bookmarkEnd w:id="0"/>
            <w:r>
              <w:rPr>
                <w:sz w:val="24"/>
                <w:szCs w:val="24"/>
              </w:rPr>
              <w:t>- в</w:t>
            </w:r>
            <w:r w:rsidRPr="00625883">
              <w:rPr>
                <w:sz w:val="24"/>
                <w:szCs w:val="24"/>
              </w:rPr>
              <w:t xml:space="preserve"> зоне обслуживания лиц с недостатками зрения читательские места и стеллажи со специальной литературой следует оборудовать добавочным освещением. Необходимо предусматривать высокий </w:t>
            </w:r>
            <w:r w:rsidRPr="00625883">
              <w:rPr>
                <w:sz w:val="24"/>
                <w:szCs w:val="24"/>
              </w:rPr>
              <w:lastRenderedPageBreak/>
              <w:t>уровень естественной освещенности этой читательской зоны (КЕО - 2,5%), а уровень искусственного освещения читательского стола - не менее 1000 лк.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8.6.11;</w:t>
            </w:r>
            <w:bookmarkEnd w:id="1"/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установить в актовом зале индукционную систему для оказания услуг людям с нарушением слуха, а также организовать сурдоперевод;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приобрести электронные </w:t>
            </w:r>
            <w:proofErr w:type="spellStart"/>
            <w:r>
              <w:rPr>
                <w:sz w:val="24"/>
                <w:szCs w:val="24"/>
              </w:rPr>
              <w:t>видеоувеличители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установить оборудование для </w:t>
            </w:r>
            <w:proofErr w:type="spellStart"/>
            <w:r>
              <w:rPr>
                <w:sz w:val="24"/>
                <w:szCs w:val="24"/>
              </w:rPr>
              <w:t>тифлоперевода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2756A9">
              <w:rPr>
                <w:sz w:val="24"/>
                <w:szCs w:val="24"/>
              </w:rPr>
              <w:t>ченические места для учащихся-инвалидов должны размещаться идентично в однотипных учебных помеще</w:t>
            </w:r>
            <w:r>
              <w:rPr>
                <w:sz w:val="24"/>
                <w:szCs w:val="24"/>
              </w:rPr>
              <w:t xml:space="preserve">ниях одного учебного учреждения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8.2.2;</w:t>
            </w:r>
          </w:p>
          <w:p w:rsidR="00456BD1" w:rsidRPr="002756A9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2756A9">
              <w:rPr>
                <w:sz w:val="24"/>
                <w:szCs w:val="24"/>
              </w:rPr>
              <w:t xml:space="preserve">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- выделить один-два первых</w:t>
            </w:r>
            <w:r>
              <w:rPr>
                <w:sz w:val="24"/>
                <w:szCs w:val="24"/>
              </w:rPr>
              <w:t xml:space="preserve"> стола в ряду у дверного проема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8.2.2;</w:t>
            </w:r>
          </w:p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sub_823"/>
            <w:r>
              <w:rPr>
                <w:sz w:val="24"/>
                <w:szCs w:val="24"/>
              </w:rPr>
              <w:t>- в</w:t>
            </w:r>
            <w:r w:rsidRPr="002756A9">
              <w:rPr>
                <w:sz w:val="24"/>
                <w:szCs w:val="24"/>
              </w:rPr>
              <w:t xml:space="preserve"> актовых и зрительных залах неспециализированных образовательных учреждений следует предусматривать места для инвалидов на креслах-колясках из расчета: в зале на 50-150 мест - 3-5 мест; в зале на 151-300 мест - 5-7 мест; в зале на 301-500 мест - 7-10 мест; в зале на </w:t>
            </w:r>
            <w:r w:rsidRPr="002756A9">
              <w:rPr>
                <w:sz w:val="24"/>
                <w:szCs w:val="24"/>
              </w:rPr>
              <w:lastRenderedPageBreak/>
              <w:t xml:space="preserve">501-800 мест - 10-15 мест.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8.2.3;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6A9">
              <w:rPr>
                <w:sz w:val="24"/>
                <w:szCs w:val="24"/>
              </w:rPr>
              <w:t>должен быть обеспечен доступ для инвалид</w:t>
            </w:r>
            <w:r>
              <w:rPr>
                <w:sz w:val="24"/>
                <w:szCs w:val="24"/>
              </w:rPr>
              <w:t xml:space="preserve">ов на креслах-колясках на сцену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8.2.3;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bookmarkStart w:id="3" w:name="sub_867"/>
            <w:r>
              <w:rPr>
                <w:sz w:val="24"/>
                <w:szCs w:val="24"/>
              </w:rPr>
              <w:t>- д</w:t>
            </w:r>
            <w:r w:rsidRPr="00560069">
              <w:rPr>
                <w:sz w:val="24"/>
                <w:szCs w:val="24"/>
              </w:rPr>
              <w:t>ля подъема на сцену кроме лестниц должны быть предусмотрены стационарный или инвентарный пандус или подъемное устройство. Ширина пандуса между поручнями должна быть не менее 0,9 м с уклоном 1:12 (8%) и бортиками по бокам. Лестницы и пандусы, ведущие на сцену, должны иметь с одной стороны ограждения с двойными поручнями на высоте 0,7-0,9 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8.6.7;</w:t>
            </w:r>
            <w:bookmarkEnd w:id="3"/>
          </w:p>
          <w:bookmarkEnd w:id="2"/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2756A9">
              <w:rPr>
                <w:sz w:val="24"/>
                <w:szCs w:val="24"/>
              </w:rPr>
              <w:t>еста для учащихся-инвалидов с нарушением опорно-двигательного аппарата следует предусматривать на горизонтальных участках пола, в рядах, непосредственно примыкающих к проходам и в одно</w:t>
            </w:r>
            <w:r>
              <w:rPr>
                <w:sz w:val="24"/>
                <w:szCs w:val="24"/>
              </w:rPr>
              <w:t xml:space="preserve">м уровне с входом в актовый зал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8.2.3;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bookmarkStart w:id="4" w:name="sub_825"/>
            <w:r>
              <w:rPr>
                <w:sz w:val="24"/>
                <w:szCs w:val="24"/>
              </w:rPr>
              <w:t>- в</w:t>
            </w:r>
            <w:r w:rsidRPr="002756A9">
              <w:rPr>
                <w:sz w:val="24"/>
                <w:szCs w:val="24"/>
              </w:rPr>
              <w:t xml:space="preserve">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эвакуации</w:t>
            </w:r>
            <w:r>
              <w:rPr>
                <w:sz w:val="24"/>
                <w:szCs w:val="24"/>
              </w:rPr>
              <w:t xml:space="preserve"> в случае чрезвычайных ситуаций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8.2.5;</w:t>
            </w:r>
          </w:p>
          <w:p w:rsidR="00456BD1" w:rsidRPr="00625883" w:rsidRDefault="00456BD1" w:rsidP="0075441C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Для</w:t>
            </w:r>
            <w:r w:rsidRPr="00625883">
              <w:rPr>
                <w:bCs/>
                <w:color w:val="000000"/>
                <w:sz w:val="24"/>
                <w:szCs w:val="24"/>
              </w:rPr>
              <w:t xml:space="preserve"> организации процесса инклюзивного образования в школе необходимо </w:t>
            </w:r>
            <w:r w:rsidRPr="00625883">
              <w:rPr>
                <w:bCs/>
                <w:color w:val="000000"/>
                <w:sz w:val="24"/>
                <w:szCs w:val="24"/>
              </w:rPr>
              <w:lastRenderedPageBreak/>
              <w:t>приобрести</w:t>
            </w:r>
            <w:r>
              <w:rPr>
                <w:bCs/>
                <w:color w:val="000000"/>
                <w:sz w:val="24"/>
                <w:szCs w:val="24"/>
              </w:rPr>
              <w:t xml:space="preserve"> и наладить работу по следующим направлениям</w:t>
            </w:r>
            <w:r w:rsidRPr="00625883">
              <w:rPr>
                <w:bCs/>
                <w:color w:val="000000"/>
                <w:sz w:val="24"/>
                <w:szCs w:val="24"/>
              </w:rPr>
              <w:t>: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25883">
              <w:rPr>
                <w:i/>
                <w:sz w:val="24"/>
                <w:szCs w:val="24"/>
              </w:rPr>
              <w:t>Для учащихся с нарушением слуха</w:t>
            </w:r>
            <w:r>
              <w:rPr>
                <w:i/>
                <w:sz w:val="24"/>
                <w:szCs w:val="24"/>
              </w:rPr>
              <w:t>: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FM</w:t>
            </w:r>
            <w:r>
              <w:rPr>
                <w:i/>
                <w:sz w:val="24"/>
                <w:szCs w:val="24"/>
              </w:rPr>
              <w:t>-системы/</w:t>
            </w:r>
            <w:proofErr w:type="spellStart"/>
            <w:r>
              <w:rPr>
                <w:i/>
                <w:sz w:val="24"/>
                <w:szCs w:val="24"/>
              </w:rPr>
              <w:t>Радиоклассы</w:t>
            </w:r>
            <w:proofErr w:type="spellEnd"/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Акустические системы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Слуховой тренажер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Коррекционно-развивающий программный комплекс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учащихся с нарушением зрения: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Электронные </w:t>
            </w:r>
            <w:proofErr w:type="spellStart"/>
            <w:r>
              <w:rPr>
                <w:i/>
                <w:sz w:val="24"/>
                <w:szCs w:val="24"/>
              </w:rPr>
              <w:t>видеоувеличители</w:t>
            </w:r>
            <w:proofErr w:type="spellEnd"/>
            <w:r>
              <w:rPr>
                <w:i/>
                <w:sz w:val="24"/>
                <w:szCs w:val="24"/>
              </w:rPr>
              <w:t xml:space="preserve"> (стационарные, портативные)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Дисплеи Брайля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Программы экранного доступа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Принтеры Брайля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Пишущие машинки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Письменные принадлежности (для письма по Брайлю)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Учебные пособия (для занятий дублируется шрифтом Брайля)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учащихся с нарушением опорно-двигательного аппарата: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Специализированная мебель (стул, стол)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Адаптированные устройства для ПК (специальная клавиатура, адаптированный джойстик, выносные кнопки увеличенного диаметра)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Развитие, обучение и воспитание: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- Развивающиеся дидактического пособия</w:t>
            </w:r>
            <w:proofErr w:type="gramEnd"/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Музыка и творчество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Сенсорная комната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Развитие и коррекция звукопроизношения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Дидактические и методические пособия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Адаптированные игровые пособия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Спорт и ЛФК (баскетбол на коляске, </w:t>
            </w:r>
            <w:proofErr w:type="spellStart"/>
            <w:r>
              <w:rPr>
                <w:i/>
                <w:sz w:val="24"/>
                <w:szCs w:val="24"/>
              </w:rPr>
              <w:t>бочча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i/>
                <w:sz w:val="24"/>
                <w:szCs w:val="24"/>
              </w:rPr>
              <w:t>волейбол</w:t>
            </w:r>
            <w:proofErr w:type="gramEnd"/>
            <w:r>
              <w:rPr>
                <w:i/>
                <w:sz w:val="24"/>
                <w:szCs w:val="24"/>
              </w:rPr>
              <w:t xml:space="preserve"> сидя, </w:t>
            </w:r>
            <w:proofErr w:type="spellStart"/>
            <w:r>
              <w:rPr>
                <w:i/>
                <w:sz w:val="24"/>
                <w:szCs w:val="24"/>
              </w:rPr>
              <w:t>голбол</w:t>
            </w:r>
            <w:proofErr w:type="spellEnd"/>
            <w:r>
              <w:rPr>
                <w:i/>
                <w:sz w:val="24"/>
                <w:szCs w:val="24"/>
              </w:rPr>
              <w:t xml:space="preserve">, футбол для слепых, футбол для людей с нарушением опорно-двигательного аппарата) 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Досуг;</w:t>
            </w:r>
          </w:p>
          <w:bookmarkEnd w:id="4"/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назначить приказом сотрудников, ответственных за организацию ситуационной помощи с разработкой должностных инструкций, с проведением обучения правилам оказания ситуационной помощи.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t>Орг.</w:t>
            </w:r>
          </w:p>
        </w:tc>
      </w:tr>
      <w:tr w:rsidR="00456BD1" w:rsidTr="0075441C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380348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380348">
            <w:pPr>
              <w:pStyle w:val="a5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355A36">
              <w:rPr>
                <w:sz w:val="24"/>
                <w:szCs w:val="24"/>
              </w:rPr>
              <w:t>оверхность столов индивидуального пользования, прилавков, низа окон касс, справочных и других мест обслуживания, используемых посетителями-инвалидами на креслах-колясках, должна находиться на высоте не более 0,80-0,85 м над уровнем пола. Ширина и высота проема для ног должна быть не менее 0,75 м, глубина - не менее 0,5 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8.1.7;</w:t>
            </w:r>
          </w:p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</w:t>
            </w:r>
            <w:r w:rsidRPr="00355A36">
              <w:rPr>
                <w:sz w:val="24"/>
                <w:szCs w:val="24"/>
              </w:rPr>
              <w:t>ирина рабочего фронта прилавка, стола, стойки, барьера и т.п. у места получения услуги должна быть не менее 1,0 м.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8.1.7;</w:t>
            </w:r>
          </w:p>
          <w:p w:rsidR="00456BD1" w:rsidRPr="00355A36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оборудовать пост охраны системой усиления звука (н</w:t>
            </w:r>
            <w:r w:rsidRPr="00355A36">
              <w:rPr>
                <w:sz w:val="24"/>
                <w:szCs w:val="24"/>
              </w:rPr>
              <w:t>е менее одной стойки обслуживания посетителей следует оборудо</w:t>
            </w:r>
            <w:r>
              <w:rPr>
                <w:sz w:val="24"/>
                <w:szCs w:val="24"/>
              </w:rPr>
              <w:t xml:space="preserve">вать системами усиления звука)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8.1.7;</w:t>
            </w:r>
          </w:p>
          <w:p w:rsidR="00456BD1" w:rsidRDefault="00456BD1" w:rsidP="0075441C">
            <w:pPr>
              <w:pStyle w:val="a3"/>
              <w:spacing w:after="0" w:line="100" w:lineRule="atLeas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-разместить на стене рядом с прилавком на высоте от 1,4-1,75 м. тактильную пиктограмму контрастного цвета с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обозначением «Гардероб», «Пост охраны», размерами 100*100 мм. и таблички контрастного цвета размерами 50*270 мм выполненную рельефным шрифтом с названием «Гардероб», «Пост охраны», с дублированием информации шрифтом Брайля, высота точек 0,7 мм., диаметр 1,5 мм.;</w:t>
            </w:r>
            <w:proofErr w:type="gramEnd"/>
          </w:p>
          <w:p w:rsidR="00456BD1" w:rsidRDefault="00456BD1" w:rsidP="0075441C">
            <w:pPr>
              <w:pStyle w:val="a3"/>
              <w:spacing w:after="0"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-нанести контрастную маркировку на края оконного проема поста охраны гардероба.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</w:t>
            </w:r>
          </w:p>
          <w:p w:rsidR="00456BD1" w:rsidRDefault="00456BD1" w:rsidP="0075441C">
            <w:pPr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456BD1" w:rsidRDefault="00456BD1" w:rsidP="0075441C">
            <w:pPr>
              <w:snapToGrid w:val="0"/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t>Орг.</w:t>
            </w:r>
          </w:p>
        </w:tc>
      </w:tr>
      <w:tr w:rsidR="00456BD1" w:rsidTr="0075441C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56BD1" w:rsidTr="0075441C">
        <w:trPr>
          <w:trHeight w:val="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Pr="003A39A2" w:rsidRDefault="00456BD1" w:rsidP="0075441C">
            <w:pPr>
              <w:snapToGrid w:val="0"/>
              <w:spacing w:line="240" w:lineRule="auto"/>
              <w:ind w:lef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left="-108" w:right="-108" w:firstLine="0"/>
              <w:jc w:val="left"/>
            </w:pPr>
          </w:p>
        </w:tc>
      </w:tr>
      <w:tr w:rsidR="00456BD1" w:rsidTr="0075441C">
        <w:trPr>
          <w:trHeight w:val="7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napToGrid w:val="0"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Следует использовать контрастные сочетания цветов в применяемом оборудовании </w:t>
            </w:r>
            <w:r>
              <w:rPr>
                <w:b/>
                <w:bCs/>
                <w:sz w:val="24"/>
                <w:szCs w:val="24"/>
              </w:rPr>
              <w:t>СП 59.13330.2016 п. 6.4.1;</w:t>
            </w:r>
          </w:p>
          <w:p w:rsidR="00456BD1" w:rsidRPr="00D624FB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5" w:name="sub_822"/>
            <w:r w:rsidRPr="00D624FB">
              <w:rPr>
                <w:sz w:val="24"/>
                <w:szCs w:val="24"/>
              </w:rPr>
              <w:t>Ученические места для учащихся-инвалидов должны размещаться идентично в однотипных учебных помещениях одного учебного учреждения.</w:t>
            </w:r>
            <w:r>
              <w:rPr>
                <w:b/>
                <w:bCs/>
                <w:sz w:val="24"/>
                <w:szCs w:val="24"/>
              </w:rPr>
              <w:t xml:space="preserve"> СП 59.13330.2016 п. 8.2.2;</w:t>
            </w:r>
          </w:p>
          <w:bookmarkEnd w:id="5"/>
          <w:p w:rsidR="00456BD1" w:rsidRDefault="00456BD1" w:rsidP="0075441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624FB">
              <w:rPr>
                <w:sz w:val="24"/>
                <w:szCs w:val="24"/>
              </w:rPr>
              <w:t>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- выделить один-два первых</w:t>
            </w:r>
            <w:r>
              <w:rPr>
                <w:sz w:val="24"/>
                <w:szCs w:val="24"/>
              </w:rPr>
              <w:t xml:space="preserve"> стола в ряду у дверного проема </w:t>
            </w:r>
            <w:r>
              <w:rPr>
                <w:b/>
                <w:bCs/>
                <w:sz w:val="24"/>
                <w:szCs w:val="24"/>
              </w:rPr>
              <w:t>СП 59.13330.2016 п. 8.2.2;</w:t>
            </w:r>
          </w:p>
          <w:p w:rsidR="00456BD1" w:rsidRDefault="00456BD1" w:rsidP="0075441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приказом сотрудников, </w:t>
            </w:r>
            <w:r>
              <w:rPr>
                <w:sz w:val="24"/>
                <w:szCs w:val="24"/>
              </w:rPr>
              <w:lastRenderedPageBreak/>
              <w:t>ответственных за организацию ситуационной помощи с разработкой должностных инструкций, с проведением обучения правилам оказания ситуационной помощи и инструктажей со всеми сотрудниками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08250C">
      <w:pPr>
        <w:spacing w:line="240" w:lineRule="auto"/>
        <w:ind w:firstLine="0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67" w:rsidRDefault="00DC3667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08250C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6" w:name="_GoBack"/>
      <w:bookmarkEnd w:id="6"/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3545"/>
        <w:gridCol w:w="4678"/>
        <w:gridCol w:w="1417"/>
        <w:gridCol w:w="1559"/>
        <w:gridCol w:w="4455"/>
      </w:tblGrid>
      <w:tr w:rsidR="00456BD1" w:rsidTr="0075441C">
        <w:trPr>
          <w:trHeight w:val="47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пункту 3.4 Акта обследования ОСИ)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работы)**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к пункту 4.1 Акта обследования ОСИ</w:t>
            </w:r>
          </w:p>
        </w:tc>
      </w:tr>
      <w:tr w:rsidR="00456BD1" w:rsidTr="0075441C">
        <w:trPr>
          <w:trHeight w:val="55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6BD1" w:rsidTr="0075441C">
        <w:trPr>
          <w:trHeight w:val="55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  <w:p w:rsidR="00456BD1" w:rsidRDefault="00456BD1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  <w:p w:rsidR="00456BD1" w:rsidRPr="0037086F" w:rsidRDefault="00456BD1" w:rsidP="0075441C">
            <w:pPr>
              <w:pStyle w:val="TableContents"/>
              <w:ind w:right="46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D82" w:rsidRPr="00910D82" w:rsidRDefault="00910D82" w:rsidP="00910D8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, </w:t>
            </w:r>
            <w:r w:rsidRPr="00910D82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9</w:t>
            </w:r>
          </w:p>
          <w:p w:rsidR="00910D82" w:rsidRPr="00910D82" w:rsidRDefault="00910D82" w:rsidP="00910D8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14</w:t>
            </w:r>
          </w:p>
          <w:p w:rsidR="00456BD1" w:rsidRDefault="00910D82" w:rsidP="00910D8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910D8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B9" w:rsidRDefault="008918B9" w:rsidP="008918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21, 22, 23, 24, 25, 26,</w:t>
            </w:r>
          </w:p>
          <w:p w:rsidR="008918B9" w:rsidRDefault="008918B9" w:rsidP="008918B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47, 46, 48, 49, 50, 51, 52, 53,54, 55, 56, 57, 58, 59</w:t>
            </w:r>
          </w:p>
          <w:p w:rsidR="00456BD1" w:rsidRDefault="00456BD1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D1" w:rsidRDefault="00456BD1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</w:p>
          <w:p w:rsidR="00456BD1" w:rsidRDefault="00456BD1" w:rsidP="0075441C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Индивидуальное решение с ТСР, Организационные мероприятия</w:t>
            </w:r>
          </w:p>
        </w:tc>
      </w:tr>
    </w:tbl>
    <w:p w:rsidR="00456BD1" w:rsidRDefault="00456BD1" w:rsidP="00456BD1">
      <w:pPr>
        <w:spacing w:line="240" w:lineRule="auto"/>
        <w:ind w:left="5103" w:firstLine="0"/>
        <w:jc w:val="center"/>
        <w:rPr>
          <w:b/>
          <w:sz w:val="20"/>
          <w:szCs w:val="20"/>
        </w:rPr>
      </w:pP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 указывается: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ДП-В - доступно полностью всем; 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ДЧ-В - доступно частично всем;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ДУ - доступно условно, </w:t>
      </w:r>
    </w:p>
    <w:p w:rsidR="00456BD1" w:rsidRDefault="00456BD1" w:rsidP="00456BD1">
      <w:pPr>
        <w:spacing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ВНД – недоступно (временно недоступно)</w:t>
      </w:r>
    </w:p>
    <w:p w:rsidR="00456BD1" w:rsidRDefault="00456BD1" w:rsidP="00456BD1">
      <w:pPr>
        <w:spacing w:line="240" w:lineRule="auto"/>
        <w:rPr>
          <w:b/>
          <w:sz w:val="20"/>
          <w:szCs w:val="20"/>
        </w:rPr>
      </w:pP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**указывается один из вариантов: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не нуждается;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ремонт (текущий, капитальный); </w:t>
      </w:r>
    </w:p>
    <w:p w:rsidR="00456BD1" w:rsidRDefault="00456BD1" w:rsidP="00456BD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решение с ТСР; </w:t>
      </w:r>
    </w:p>
    <w:p w:rsidR="00456BD1" w:rsidRDefault="00456BD1" w:rsidP="00456BD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456BD1" w:rsidRDefault="00456BD1" w:rsidP="00456B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56BD1" w:rsidRDefault="00456BD1" w:rsidP="00456BD1">
      <w:pPr>
        <w:spacing w:line="240" w:lineRule="auto"/>
        <w:ind w:firstLine="0"/>
        <w:rPr>
          <w:b/>
          <w:sz w:val="24"/>
          <w:szCs w:val="24"/>
        </w:rPr>
      </w:pPr>
    </w:p>
    <w:p w:rsidR="00456BD1" w:rsidRDefault="00456BD1" w:rsidP="00456BD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Комментарий к заключению:</w:t>
      </w:r>
    </w:p>
    <w:p w:rsidR="00EB6A64" w:rsidRDefault="00456BD1" w:rsidP="00C97508">
      <w:pPr>
        <w:pStyle w:val="1"/>
        <w:ind w:firstLine="0"/>
      </w:pPr>
      <w:r>
        <w:rPr>
          <w:sz w:val="24"/>
          <w:szCs w:val="24"/>
        </w:rPr>
        <w:t>Состояние доступности зон целевого обслуживания оценено, как  временно недоступное для инвалидов категории (К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 xml:space="preserve">,С,Г,У), что не обеспечивает их полноценного нахождения на объекте. Для обеспечения условной доступности необходимо выделить зону для обслуживания граждан (К,О,С,Г,У) с установкой специального оборудования и организации учебного процесса с учетом особенностей инвалидности учащегося. </w:t>
      </w:r>
      <w:r w:rsidR="00C97508">
        <w:rPr>
          <w:sz w:val="24"/>
          <w:szCs w:val="24"/>
        </w:rPr>
        <w:t>Имеется приказ №  290/01-17 от 17.11.2020 года      о назначении ответственных  за организацию ситуационной помощи сотрудников, с разработкой должностных инструкций, с проведением обучения правилам оказания ситуационной помощи и инструктажей со всеми сотрудниками (организационное решение).</w:t>
      </w:r>
    </w:p>
    <w:sectPr w:rsidR="00EB6A64" w:rsidSect="000C5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56BD1"/>
    <w:rsid w:val="00031634"/>
    <w:rsid w:val="0008250C"/>
    <w:rsid w:val="000C525D"/>
    <w:rsid w:val="001F542F"/>
    <w:rsid w:val="00380348"/>
    <w:rsid w:val="00393E4C"/>
    <w:rsid w:val="003D427F"/>
    <w:rsid w:val="003E1944"/>
    <w:rsid w:val="00456BD1"/>
    <w:rsid w:val="00585E77"/>
    <w:rsid w:val="006E311E"/>
    <w:rsid w:val="008459E9"/>
    <w:rsid w:val="008918B9"/>
    <w:rsid w:val="00892746"/>
    <w:rsid w:val="00910D82"/>
    <w:rsid w:val="00960D92"/>
    <w:rsid w:val="00B14FE8"/>
    <w:rsid w:val="00B45FD2"/>
    <w:rsid w:val="00BB1ECE"/>
    <w:rsid w:val="00C8250D"/>
    <w:rsid w:val="00C97508"/>
    <w:rsid w:val="00DC3667"/>
    <w:rsid w:val="00EB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1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BD1"/>
    <w:pPr>
      <w:spacing w:after="120"/>
    </w:pPr>
  </w:style>
  <w:style w:type="character" w:customStyle="1" w:styleId="a4">
    <w:name w:val="Основной текст Знак"/>
    <w:basedOn w:val="a0"/>
    <w:link w:val="a3"/>
    <w:rsid w:val="00456BD1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5">
    <w:name w:val="No Spacing"/>
    <w:qFormat/>
    <w:rsid w:val="00456BD1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456BD1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1">
    <w:name w:val="Без интервала1"/>
    <w:rsid w:val="00456BD1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1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BD1"/>
    <w:pPr>
      <w:spacing w:after="120"/>
    </w:pPr>
  </w:style>
  <w:style w:type="character" w:customStyle="1" w:styleId="a4">
    <w:name w:val="Основной текст Знак"/>
    <w:basedOn w:val="a0"/>
    <w:link w:val="a3"/>
    <w:rsid w:val="00456BD1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5">
    <w:name w:val="No Spacing"/>
    <w:qFormat/>
    <w:rsid w:val="00456BD1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456BD1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1">
    <w:name w:val="Без интервала1"/>
    <w:rsid w:val="00456BD1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CB3F-9F73-47AA-9049-60A55B4C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2020-12-04T09:19:00Z</dcterms:created>
  <dcterms:modified xsi:type="dcterms:W3CDTF">2020-12-04T09:19:00Z</dcterms:modified>
</cp:coreProperties>
</file>